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14 161 vom 28. Juni 2012</w:t>
      </w:r>
    </w:p>
    <w:p>
      <w:r>
        <w:t>BL Gerichte, 2012-06-28, DE</w:t>
      </w:r>
    </w:p>
    <w:p>
      <w:r>
        <w:rPr>
          <w:b/>
        </w:rPr>
        <w:t xml:space="preserve">Quelle: </w:t>
      </w:r>
      <w:r>
        <w:t>https://mcp.opencaselaw.ch/entscheid/bl_gerichte_810 14 161</w:t>
      </w:r>
    </w:p>
    <w:p>
      <w:r>
        <w:t>FR: BL_GERICHTE 810 14 161 du 28 juin 2012</w:t>
      </w:r>
    </w:p>
    <w:p>
      <w:r>
        <w:t>IT: BL_GERICHTE 810 14 161 del 28 giugno 2012</w:t>
      </w:r>
    </w:p>
    <w:p>
      <w:pPr>
        <w:pStyle w:val="Heading2"/>
      </w:pPr>
      <w:r>
        <w:t>Regeste</w:t>
      </w:r>
    </w:p>
    <w:p>
      <w:r>
        <w:t>Nach- und Strafsteuer zur direkten Bundessteuer 1999 (Entscheid der Abteilung Steuergericht vom 28. Februar 2014)</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vom 13. Dezember 1994 können Entscheide des Steuergerichts mit Verwaltungsgerichtsbeschwerde beim Kantonsgericht als letzte kantonale Instanz angefochten werden. Mit der Beschwerde in Steuersachen können gemäss § 45 Abs. 2 des Gesetzes über die Verfassungs- und Verwaltungsprozessordnung (VPO) vom 16. Dezember 1993 alle Mängel des angefochtenen Entscheids und des vorangegangenen Verfahrens gerügt werden. Die formellen Voraussetzungen nach Art. 140 ff. DBG und Art. 145 Abs. 2 DBG sowie §§ 43 ff. VPO sind erfüllt, sodass auf die Beschwerde einzutreten ist. 2.1 Vorweg ist über die an der heutigen Parteiverhandlung erneut gestellten Beweis- und Verfahrensanträge der Beschwerdeführerin zu befinden. 2.2. Mit Präsidialverfügung vom 19. September 2014 wurden die Beweisanträge, wonach die vorgenannten Zeugen einzuvernehmen seien, abgewiesen. Vorliegend sind keine Gründe ersichtlich, welche ein Abweichen von der damaligen Verfügung rechtfertigen würden, zumal von der Beschwerdeführerin in keiner Weise vorgebracht wird, inwiefern die angerufenen Zeugen zur Aufklärung des Sachverhalts zusätzlich beitragen könnten. Aus dem Strafverfahren befinden sich die Einvernahmeprotokolle der Zeugen in den vorliegenden Verfahrensakten und das Gericht kann somit grundsätzlich darauf abstellen und diese Aussagen in die Beurteilung einbeziehen. Die Beweisanträge der Beschwerdeführerin, wonach Herr E. , Frau F. und Herr G. als Zeugen einzuvernehmen seien, werden abgewiesen. 2.3 Mit Präsidialverfügung vom 30. Juli 2014 wurden die Verfahrensanträge der Beschwerdeführerin auf Sistierung des Nachsteuer- und Strafsteuerverfahrens sowie auf Trennung der beiden Verfahren abgewiesen. Auf die dagegen erhobene Beschwerde ist das Bundesgericht mit Urteil vom 23. September 2014 nicht eingetreten und hat dabei dargelegt, dass nicht erkennbar sei, inwiefern die Verweigerung der nachgesuchten Sistierung und Trennung der Verfahren einen nicht wieder gutzumachenden Nachteil für die Beschwerdeführerin beinhalte. Auch aufgrund der heute eingereichten Anklageschrift der Staatsanwaltschaft Basel-Landschaft ändert sich nichts an der Tatsache, dass die Beschwerdeführerin nicht darlegt, inwiefern Informationen, welche sie im Nachsteuerverfahren entlasten würden, im Steuerstrafverfahren für sie nachteilig sein könnten. Zudem hat sie sich im vorliegenden Verfahren in ihrer Beschwerdebegründung bereits ausführlich zur Sache geäussert. Diese Rechtsschriften samt Beilagen sowie die Verfahrensakten sind dem Gericht bereits bekannt. Schliesslich ist festzustellen, dass an der heutigen – von der Beschwerdeführerin beantragten – Parteiverhandlung lediglich der Rechtsvertreter der Beschwerdeführerin anwesend ist, weshalb die Beschwerdeführerin selber keine weiteren Fragen beantworten bzw. keine Auskunft erteilen muss, welche sie belasten könnte. Es liegen somit keine Gründe vor, welche eine Sistierung oder Trennung der Verfahren insbesondere gegen den Willen der Beschwerdegegner, rechtfertigen würden (vgl. Präsidialverfügung vom 30. Juli 2014 E. 2). Die Verfahrensanträge der Beschwerdeführerin, es seien das Nachsteuer- und Strafsteuerverfahren bis zum rechtskräftigen Abschluss des Strafverfahrens gegen D. und B. zu sistieren; sodann sei das Nachsteuerverfahren vom Strafsteuerverfahren zu trennen, werden abgewiesen.</w:t>
      </w:r>
    </w:p>
    <w:p>
      <w:r>
        <w:rPr>
          <w:b/>
        </w:rPr>
        <w:t>E. 3</w:t>
      </w:r>
    </w:p>
    <w:p>
      <w:r>
        <w:t>Die Angelegenheit wird zur Neuverlegung der Kosten des vorinstanzlichen Verfahrens an das Steuer- und Enteignungsgericht des Kantons Basel-Landschaft, Abteilung Steuergericht, zurückgewiesen.</w:t>
      </w:r>
    </w:p>
    <w:p>
      <w:r>
        <w:rPr>
          <w:b/>
        </w:rPr>
        <w:t>E. 4</w:t>
      </w:r>
    </w:p>
    <w:p>
      <w:r>
        <w:t>Der Beschwerdeführerin wird ein Verfahrenskostenanteil in der Höhe von Fr. 1‘500.-- auferlegt und mit dem geleisteten Kostenvorschuss in der Höhe von Fr. 1‘400.-- verrechnet. Demzufolge hat die Beschwerdeführerin restliche Verfahrenskosten in der Höhe von Fr. 100.-- zu bezahlen 5. Die Steuerverwaltung des Kantons Basel-Landschaft hat der Beschwerdeführerin eine reduzierte Parteientschädigung in der Höhe von Fr. 1'000.-- (inkl. Auslagen und 8% MWSt)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